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C3E" w:rsidRDefault="005E4C3E" w:rsidP="005E4C3E">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6.3 do SWZ</w:t>
      </w:r>
    </w:p>
    <w:p w:rsidR="005E4C3E" w:rsidRDefault="005E4C3E" w:rsidP="005E4C3E">
      <w:pPr>
        <w:pStyle w:val="Standard"/>
        <w:jc w:val="right"/>
        <w:rPr>
          <w:rFonts w:ascii="Times New Roman" w:hAnsi="Times New Roman" w:cs="Times New Roman"/>
        </w:rPr>
      </w:pPr>
      <w:r>
        <w:rPr>
          <w:rFonts w:ascii="Times New Roman" w:hAnsi="Times New Roman" w:cs="Times New Roman"/>
        </w:rPr>
        <w:t>Egz. nr ….</w:t>
      </w:r>
    </w:p>
    <w:p w:rsidR="005E4C3E" w:rsidRPr="006A27BC" w:rsidRDefault="005E4C3E" w:rsidP="005E4C3E">
      <w:pPr>
        <w:pStyle w:val="Standard"/>
        <w:rPr>
          <w:rFonts w:ascii="Times New Roman" w:hAnsi="Times New Roman" w:cs="Times New Roman"/>
        </w:rPr>
      </w:pPr>
      <w:r w:rsidRPr="006A27BC">
        <w:rPr>
          <w:rFonts w:ascii="Times New Roman" w:hAnsi="Times New Roman" w:cs="Times New Roman"/>
        </w:rPr>
        <w:t>ZZ-2380-</w:t>
      </w:r>
      <w:r w:rsidR="00680E73">
        <w:rPr>
          <w:rFonts w:ascii="Times New Roman" w:hAnsi="Times New Roman" w:cs="Times New Roman"/>
        </w:rPr>
        <w:t>28</w:t>
      </w:r>
      <w:bookmarkStart w:id="0" w:name="_GoBack"/>
      <w:bookmarkEnd w:id="0"/>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1861C1" w:rsidRDefault="001861C1" w:rsidP="00E671D5">
      <w:pPr>
        <w:pStyle w:val="Standard"/>
        <w:widowControl w:val="0"/>
        <w:spacing w:after="0" w:line="360" w:lineRule="auto"/>
        <w:jc w:val="both"/>
      </w:pP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18335C"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Pr="00E13FB7">
        <w:rPr>
          <w:rFonts w:ascii="Times New Roman" w:hAnsi="Times New Roman" w:cs="Times New Roman"/>
          <w:b/>
          <w:bCs/>
          <w:spacing w:val="-2"/>
        </w:rPr>
        <w:t>dostawa</w:t>
      </w:r>
      <w:r w:rsidRPr="00E13FB7">
        <w:rPr>
          <w:rFonts w:ascii="Times New Roman" w:eastAsia="Andale Sans UI" w:hAnsi="Times New Roman" w:cs="Times New Roman"/>
          <w:b/>
          <w:bCs/>
          <w:spacing w:val="-2"/>
        </w:rPr>
        <w:t xml:space="preserve"> </w:t>
      </w:r>
      <w:r w:rsidR="007F34CF">
        <w:rPr>
          <w:rFonts w:ascii="Times New Roman" w:eastAsia="Andale Sans UI" w:hAnsi="Times New Roman" w:cs="Times New Roman"/>
          <w:b/>
          <w:bCs/>
          <w:spacing w:val="-2"/>
        </w:rPr>
        <w:t>urządzeń wielofunkcyjnych kolorowych A3</w:t>
      </w:r>
      <w:r w:rsidRPr="00E13FB7">
        <w:rPr>
          <w:rFonts w:ascii="Times New Roman" w:hAnsi="Times New Roman" w:cs="Times New Roman"/>
          <w:b/>
          <w:bCs/>
          <w:spacing w:val="-2"/>
        </w:rPr>
        <w:t>.</w:t>
      </w:r>
    </w:p>
    <w:p w:rsidR="0018335C" w:rsidRPr="00971854" w:rsidRDefault="0018335C" w:rsidP="0018335C">
      <w:pPr>
        <w:pStyle w:val="Standard"/>
        <w:numPr>
          <w:ilvl w:val="0"/>
          <w:numId w:val="27"/>
        </w:numPr>
        <w:tabs>
          <w:tab w:val="left" w:pos="-720"/>
          <w:tab w:val="left" w:pos="-360"/>
        </w:tabs>
        <w:spacing w:line="360" w:lineRule="auto"/>
        <w:jc w:val="both"/>
        <w:rPr>
          <w:rFonts w:ascii="Times New Roman" w:hAnsi="Times New Roman" w:cs="Times New Roman"/>
        </w:rPr>
      </w:pPr>
      <w:r w:rsidRPr="00971854">
        <w:rPr>
          <w:rFonts w:ascii="Times New Roman" w:hAnsi="Times New Roman" w:cs="Times New Roman"/>
        </w:rPr>
        <w:t>Zamawiający przewiduje w ramach Umowy skorzystania z prawa opcji, gdzie:</w:t>
      </w:r>
    </w:p>
    <w:p w:rsidR="0018335C" w:rsidRDefault="0018335C" w:rsidP="0018335C">
      <w:pPr>
        <w:pStyle w:val="Standard"/>
        <w:numPr>
          <w:ilvl w:val="1"/>
          <w:numId w:val="49"/>
        </w:numPr>
        <w:tabs>
          <w:tab w:val="left" w:pos="-720"/>
          <w:tab w:val="left" w:pos="-360"/>
        </w:tabs>
        <w:spacing w:line="360" w:lineRule="auto"/>
        <w:ind w:left="709"/>
        <w:jc w:val="both"/>
        <w:rPr>
          <w:rFonts w:ascii="Times New Roman" w:hAnsi="Times New Roman" w:cs="Times New Roman"/>
        </w:rPr>
      </w:pPr>
      <w:r w:rsidRPr="00971854">
        <w:rPr>
          <w:rFonts w:ascii="Times New Roman" w:hAnsi="Times New Roman" w:cs="Times New Roman"/>
        </w:rPr>
        <w:t xml:space="preserve">zamówienie podstawowe (gwarantowane) obejmuje dostawę do siedziby zamawiającego </w:t>
      </w:r>
      <w:r>
        <w:rPr>
          <w:rFonts w:ascii="Times New Roman" w:hAnsi="Times New Roman" w:cs="Times New Roman"/>
        </w:rPr>
        <w:t xml:space="preserve">8 szt. </w:t>
      </w:r>
      <w:r w:rsidRPr="0018335C">
        <w:rPr>
          <w:rFonts w:ascii="Times New Roman" w:eastAsia="Andale Sans UI" w:hAnsi="Times New Roman" w:cs="Times New Roman"/>
          <w:bCs/>
          <w:spacing w:val="-2"/>
        </w:rPr>
        <w:t>urządzeń wielofunkcyjnych kolorowych A3</w:t>
      </w:r>
      <w:r w:rsidRPr="00D42C28">
        <w:rPr>
          <w:rFonts w:ascii="Times New Roman" w:hAnsi="Times New Roman" w:cs="Times New Roman"/>
        </w:rPr>
        <w:t>,</w:t>
      </w:r>
    </w:p>
    <w:p w:rsidR="0018335C" w:rsidRPr="00971854" w:rsidRDefault="0018335C" w:rsidP="0018335C">
      <w:pPr>
        <w:pStyle w:val="Standard"/>
        <w:numPr>
          <w:ilvl w:val="1"/>
          <w:numId w:val="49"/>
        </w:numPr>
        <w:tabs>
          <w:tab w:val="left" w:pos="-720"/>
          <w:tab w:val="left" w:pos="-360"/>
        </w:tabs>
        <w:spacing w:line="360" w:lineRule="auto"/>
        <w:ind w:left="709"/>
        <w:jc w:val="both"/>
        <w:rPr>
          <w:rFonts w:ascii="Times New Roman" w:hAnsi="Times New Roman" w:cs="Times New Roman"/>
        </w:rPr>
      </w:pPr>
      <w:r w:rsidRPr="00971854">
        <w:rPr>
          <w:rFonts w:ascii="Times New Roman" w:hAnsi="Times New Roman" w:cs="Times New Roman"/>
        </w:rPr>
        <w:t>zamówienie opcjonalne obejmuje dosta</w:t>
      </w:r>
      <w:r>
        <w:rPr>
          <w:rFonts w:ascii="Times New Roman" w:hAnsi="Times New Roman" w:cs="Times New Roman"/>
        </w:rPr>
        <w:t>wę do siedziby zamawiającego 2 sztuk</w:t>
      </w:r>
      <w:r>
        <w:rPr>
          <w:rFonts w:ascii="Times New Roman" w:eastAsia="Andale Sans UI" w:hAnsi="Times New Roman" w:cs="Times New Roman"/>
          <w:b/>
          <w:bCs/>
          <w:spacing w:val="-2"/>
        </w:rPr>
        <w:t xml:space="preserve"> </w:t>
      </w:r>
      <w:r w:rsidRPr="0018335C">
        <w:rPr>
          <w:rFonts w:ascii="Times New Roman" w:eastAsia="Andale Sans UI" w:hAnsi="Times New Roman" w:cs="Times New Roman"/>
          <w:bCs/>
          <w:spacing w:val="-2"/>
        </w:rPr>
        <w:t>urządzeń wielofunkcyjnych kolorowych A3</w:t>
      </w:r>
      <w:r w:rsidRPr="00D42C28">
        <w:rPr>
          <w:rFonts w:ascii="Times New Roman" w:eastAsia="Andale Sans UI" w:hAnsi="Times New Roman" w:cs="Times New Roman"/>
          <w:bCs/>
          <w:spacing w:val="-2"/>
        </w:rPr>
        <w:t>.</w:t>
      </w:r>
    </w:p>
    <w:p w:rsidR="001861C1" w:rsidRPr="001861C1" w:rsidRDefault="001861C1" w:rsidP="001861C1">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1861C1" w:rsidRPr="001861C1" w:rsidRDefault="001861C1" w:rsidP="001861C1">
      <w:pPr>
        <w:widowControl/>
        <w:numPr>
          <w:ilvl w:val="0"/>
          <w:numId w:val="6"/>
        </w:numPr>
        <w:suppressAutoHyphens w:val="0"/>
        <w:autoSpaceDN/>
        <w:spacing w:line="360" w:lineRule="auto"/>
        <w:ind w:left="357" w:hanging="357"/>
        <w:jc w:val="both"/>
        <w:textAlignment w:val="auto"/>
        <w:rPr>
          <w:sz w:val="22"/>
          <w:szCs w:val="22"/>
        </w:rPr>
      </w:pPr>
      <w:r w:rsidRPr="001861C1">
        <w:rPr>
          <w:sz w:val="22"/>
          <w:szCs w:val="22"/>
        </w:rPr>
        <w:lastRenderedPageBreak/>
        <w:t>W ramach przedmiotu umowy Zamawiający, uprawniony jest do skorzystania z prawa opcji na zasadach i trybie opisanym poniżej:</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Zamawiający może z opisanego w  OPZ prawa opcji skorzystać lub  skorzystać w części;</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Zamówienie realizowane w ramach opcji jest jednostronnym uprawnieniem Zamawiającego, dlatego też nieskorzystanie przez Zamawiającego z prawa opcji nie stanowi podstawy dla Wykonawcy do dochodzenia jakichkolwiek roszczeń w stosunku do Zamawiającego;</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Zamówienie objęte prawem opcji Wykonawca będzie zobowiązany wykonać po uprzednim otrzymaniu zawiadomienia od Zamawiającego, że zamierza z prawa opcji skorzystać, zawierającego liczbę określonego sprzętu (urządzeń) w ramach przedmiotowego uprawnienia Zamawiającego;</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Zamawiający zawiadomi Wykonawcę o zamiarze skorzystania z opcji, nie później niż 2 dni robocze od dnia podpisania umowy;</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Termin wykonania zamówienia objętego prawem opcji nie może być dłuższy niż okres realizacji dostawy dla zamówienia gwarantowanego;</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 xml:space="preserve">Przedmiot umowy w zakresie przysługującego Zamawiającemu prawa opcji może obejmować dostawę sprzętu (urządzeń) w maksymalnej liczbie (ilości) wskazanej w Opisie Przedmiotu Zamówienia, stanowiącej </w:t>
      </w:r>
      <w:r w:rsidRPr="001861C1">
        <w:rPr>
          <w:rFonts w:eastAsia="Times New Roman" w:cs="Times New Roman"/>
          <w:b/>
          <w:kern w:val="0"/>
          <w:sz w:val="22"/>
          <w:szCs w:val="22"/>
          <w:lang w:bidi="ar-SA"/>
        </w:rPr>
        <w:t>Załącznik nr 1</w:t>
      </w:r>
      <w:r w:rsidRPr="001861C1">
        <w:rPr>
          <w:rFonts w:eastAsia="Times New Roman" w:cs="Times New Roman"/>
          <w:kern w:val="0"/>
          <w:sz w:val="22"/>
          <w:szCs w:val="22"/>
          <w:lang w:bidi="ar-SA"/>
        </w:rPr>
        <w:t xml:space="preserve"> do niniejszej umowy;</w:t>
      </w:r>
    </w:p>
    <w:p w:rsidR="0018335C"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Zamawiający zastrzega, że ilość urządzeń przewidziana w ramach prawa opcji jest wielkością maksymalną, a ilości te mogą ulec zmniejszeniu w zależności od potrzeb Zamawiającego w trakcie trwania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1861C1" w:rsidRDefault="001861C1"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4C07AA"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Łukasz Olszewski</w:t>
      </w:r>
      <w:r w:rsidR="00540C9F">
        <w:rPr>
          <w:rFonts w:ascii="Times New Roman" w:hAnsi="Times New Roman" w:cs="Times New Roman"/>
          <w:b/>
          <w:bCs/>
        </w:rPr>
        <w:t xml:space="preserve">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sidR="00572E52">
        <w:rPr>
          <w:rFonts w:ascii="Times New Roman" w:hAnsi="Times New Roman" w:cs="Times New Roman"/>
          <w:b/>
          <w:bCs/>
        </w:rPr>
        <w:t xml:space="preserve">w </w:t>
      </w:r>
      <w:r w:rsidR="00540C9F">
        <w:rPr>
          <w:rFonts w:ascii="Times New Roman" w:hAnsi="Times New Roman" w:cs="Times New Roman"/>
          <w:b/>
          <w:bCs/>
        </w:rPr>
        <w:t>Szczecinie, tel. +48 47 78 116</w:t>
      </w:r>
      <w:r w:rsidR="00477276">
        <w:rPr>
          <w:rFonts w:ascii="Times New Roman" w:hAnsi="Times New Roman" w:cs="Times New Roman"/>
          <w:b/>
          <w:bCs/>
        </w:rPr>
        <w:t>4</w:t>
      </w:r>
      <w:r w:rsidR="00572E52">
        <w:rPr>
          <w:rFonts w:ascii="Times New Roman" w:hAnsi="Times New Roman" w:cs="Times New Roman"/>
          <w:b/>
          <w:bCs/>
        </w:rPr>
        <w:t xml:space="preserve">0, e-mail: </w:t>
      </w:r>
      <w:r w:rsidR="00477276">
        <w:rPr>
          <w:rFonts w:ascii="Times New Roman" w:hAnsi="Times New Roman" w:cs="Times New Roman"/>
          <w:b/>
          <w:bCs/>
        </w:rPr>
        <w:t>lukasz</w:t>
      </w:r>
      <w:r w:rsidR="00540C9F">
        <w:rPr>
          <w:rFonts w:ascii="Times New Roman" w:hAnsi="Times New Roman" w:cs="Times New Roman"/>
          <w:b/>
          <w:bCs/>
        </w:rPr>
        <w:t>.</w:t>
      </w:r>
      <w:r w:rsidR="00477276">
        <w:rPr>
          <w:rFonts w:ascii="Times New Roman" w:hAnsi="Times New Roman" w:cs="Times New Roman"/>
          <w:b/>
          <w:bCs/>
        </w:rPr>
        <w:t>olszewski</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1D72D5" w:rsidRPr="001D72D5">
        <w:rPr>
          <w:rFonts w:ascii="Times New Roman" w:hAnsi="Times New Roman" w:cs="Times New Roman"/>
          <w:b/>
        </w:rPr>
        <w:t>21</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w:t>
      </w:r>
      <w:r>
        <w:rPr>
          <w:rFonts w:ascii="Times New Roman" w:hAnsi="Times New Roman" w:cs="Times New Roman"/>
        </w:rPr>
        <w:lastRenderedPageBreak/>
        <w:t xml:space="preserve">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60650B" w:rsidRDefault="0060650B" w:rsidP="0060650B">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 xml:space="preserve">Wartość Przedmiotu umowy w ramach </w:t>
      </w:r>
      <w:r w:rsidRPr="00971854">
        <w:rPr>
          <w:rFonts w:ascii="Times New Roman" w:hAnsi="Times New Roman" w:cs="Times New Roman"/>
        </w:rPr>
        <w:t>zamówienie podstawowe</w:t>
      </w:r>
      <w:r>
        <w:rPr>
          <w:rFonts w:ascii="Times New Roman" w:hAnsi="Times New Roman" w:cs="Times New Roman"/>
        </w:rPr>
        <w:t>go</w:t>
      </w:r>
      <w:r w:rsidRPr="00971854">
        <w:rPr>
          <w:rFonts w:ascii="Times New Roman" w:hAnsi="Times New Roman" w:cs="Times New Roman"/>
        </w:rPr>
        <w:t xml:space="preserve"> (gwarantowane</w:t>
      </w:r>
      <w:r>
        <w:rPr>
          <w:rFonts w:ascii="Times New Roman" w:hAnsi="Times New Roman" w:cs="Times New Roman"/>
        </w:rPr>
        <w:t>go</w:t>
      </w:r>
      <w:r w:rsidRPr="00971854">
        <w:rPr>
          <w:rFonts w:ascii="Times New Roman" w:hAnsi="Times New Roman" w:cs="Times New Roman"/>
        </w:rPr>
        <w:t xml:space="preserve">) </w:t>
      </w:r>
      <w:r>
        <w:rPr>
          <w:rFonts w:ascii="Times New Roman" w:hAnsi="Times New Roman" w:cs="Times New Roman"/>
        </w:rPr>
        <w:t>określonego w § 1, Strony ustalają na …………………………………….</w:t>
      </w:r>
      <w:r>
        <w:rPr>
          <w:rFonts w:ascii="Times New Roman" w:hAnsi="Times New Roman" w:cs="Times New Roman"/>
          <w:b/>
        </w:rPr>
        <w:t xml:space="preserve"> </w:t>
      </w:r>
      <w:r>
        <w:rPr>
          <w:rFonts w:ascii="Times New Roman" w:hAnsi="Times New Roman" w:cs="Times New Roman"/>
        </w:rPr>
        <w:t>złotych brutto, słownie złotych:  ...............................................................................................................................</w:t>
      </w:r>
    </w:p>
    <w:p w:rsidR="00257EDF" w:rsidRPr="00257EDF" w:rsidRDefault="00572E52" w:rsidP="00257EDF">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257EDF" w:rsidRDefault="00257EDF" w:rsidP="00257EDF">
      <w:pPr>
        <w:pStyle w:val="Standard"/>
        <w:numPr>
          <w:ilvl w:val="0"/>
          <w:numId w:val="15"/>
        </w:numPr>
        <w:spacing w:after="0" w:line="360" w:lineRule="auto"/>
        <w:ind w:left="357" w:hanging="357"/>
        <w:jc w:val="both"/>
        <w:rPr>
          <w:rFonts w:ascii="Times New Roman" w:hAnsi="Times New Roman" w:cs="Times New Roman"/>
        </w:rPr>
      </w:pPr>
      <w:r w:rsidRPr="00257EDF">
        <w:rPr>
          <w:rFonts w:ascii="Times New Roman" w:hAnsi="Times New Roman" w:cs="Times New Roman"/>
        </w:rPr>
        <w:t>Strony ustalają, że wartość umowy objęta prawem opcji wynosi ………………………… złotych brutto, słownie : ………………………………………………………………………..……  złotych.</w:t>
      </w:r>
    </w:p>
    <w:p w:rsidR="00257EDF" w:rsidRPr="00257EDF" w:rsidRDefault="00257EDF" w:rsidP="00292CA2">
      <w:pPr>
        <w:pStyle w:val="Standard"/>
        <w:numPr>
          <w:ilvl w:val="0"/>
          <w:numId w:val="15"/>
        </w:numPr>
        <w:spacing w:line="360" w:lineRule="auto"/>
        <w:jc w:val="both"/>
        <w:rPr>
          <w:rFonts w:ascii="Times New Roman" w:hAnsi="Times New Roman" w:cs="Times New Roman"/>
        </w:rPr>
      </w:pPr>
      <w:r w:rsidRPr="00257EDF">
        <w:rPr>
          <w:rFonts w:ascii="Times New Roman" w:hAnsi="Times New Roman" w:cs="Times New Roman"/>
        </w:rPr>
        <w:lastRenderedPageBreak/>
        <w:t>Maksymalna wartość umowy wynikająca z § 5 ust. 1 i ust. 3 wynosi …....................... złotych brutto, słownie : ……………………………………………………………………………………...</w:t>
      </w:r>
      <w:r>
        <w:rPr>
          <w:rFonts w:ascii="Times New Roman" w:hAnsi="Times New Roman" w:cs="Times New Roman"/>
        </w:rPr>
        <w:t>...........</w:t>
      </w:r>
    </w:p>
    <w:p w:rsidR="00257EDF" w:rsidRDefault="00257EDF" w:rsidP="00257EDF">
      <w:pPr>
        <w:pStyle w:val="Standard"/>
        <w:widowControl w:val="0"/>
        <w:tabs>
          <w:tab w:val="left" w:pos="-720"/>
          <w:tab w:val="left" w:pos="-360"/>
        </w:tabs>
        <w:spacing w:after="0" w:line="360" w:lineRule="auto"/>
        <w:ind w:left="360"/>
        <w:jc w:val="both"/>
        <w:rPr>
          <w:rFonts w:ascii="Times New Roman" w:hAnsi="Times New Roman" w:cs="Times New Roman"/>
        </w:rPr>
      </w:pP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Wykonawca odpowiada za szkodę, wyrządzoną Zmawiającemu, w tym również za szkodę wyrządzoną przez osoby, którymi Wykonawca posłużył się przy wykonywaniu Umowy, chyba że szkoda została spowodowana działaniem siły wyższej, wyłączną winą Zamawiającego lub osoby 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lastRenderedPageBreak/>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wyższej. Powiadomienia, o którym mowa w zdaniu poprzednim, należy dokonać pisemnie lub </w:t>
      </w:r>
      <w:r w:rsidRPr="000338F8">
        <w:rPr>
          <w:rFonts w:ascii="Times New Roman" w:hAnsi="Times New Roman"/>
        </w:rPr>
        <w:lastRenderedPageBreak/>
        <w:t>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zasad podlegania ubezpieczeniom społecznym lub ubezpieczeniu zdrowotnemu lub wysokości stawki na ubezpieczenia społeczne lub zdrowotne, jeżeli zmiany te będą miały wpływ na koszty wykonania zamówienia przez Wykonawcę oraz </w:t>
      </w:r>
      <w:r w:rsidRPr="00431E00">
        <w:rPr>
          <w:rFonts w:ascii="Times New Roman" w:hAnsi="Times New Roman"/>
          <w:kern w:val="3"/>
        </w:rPr>
        <w:lastRenderedPageBreak/>
        <w:t>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lastRenderedPageBreak/>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E671D5" w:rsidRDefault="00E671D5" w:rsidP="00E671D5">
      <w:pPr>
        <w:pStyle w:val="Listapunktowana21"/>
        <w:widowControl w:val="0"/>
        <w:spacing w:after="80" w:line="360" w:lineRule="auto"/>
        <w:ind w:left="568" w:hanging="284"/>
        <w:rPr>
          <w:rFonts w:ascii="Times New Roman" w:hAnsi="Times New Roman" w:cs="Times New Roman"/>
          <w:b/>
          <w:bCs/>
          <w:lang w:val="pl-PL"/>
        </w:rPr>
      </w:pP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366540" w:rsidP="00E671D5">
      <w:pPr>
        <w:pStyle w:val="Bezodstpw2"/>
        <w:widowControl w:val="0"/>
        <w:spacing w:line="360" w:lineRule="auto"/>
        <w:rPr>
          <w:rFonts w:ascii="Times New Roman" w:hAnsi="Times New Roman" w:cs="Times New Roman"/>
          <w:iCs/>
        </w:rPr>
      </w:pP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Polecenia nr </w:t>
      </w:r>
      <w:r w:rsidR="00D343E8">
        <w:rPr>
          <w:rFonts w:ascii="Times New Roman" w:hAnsi="Times New Roman" w:cs="Times New Roman"/>
          <w:spacing w:val="2"/>
        </w:rPr>
        <w:t>6</w:t>
      </w:r>
      <w:r>
        <w:rPr>
          <w:rFonts w:ascii="Times New Roman" w:hAnsi="Times New Roman" w:cs="Times New Roman"/>
          <w:spacing w:val="2"/>
        </w:rPr>
        <w:t xml:space="preserve"> z dnia </w:t>
      </w:r>
      <w:r w:rsidR="00D343E8">
        <w:rPr>
          <w:rFonts w:ascii="Times New Roman" w:hAnsi="Times New Roman" w:cs="Times New Roman"/>
          <w:spacing w:val="2"/>
        </w:rPr>
        <w:t>31</w:t>
      </w:r>
      <w:r w:rsidR="00265B99">
        <w:rPr>
          <w:rFonts w:ascii="Times New Roman" w:hAnsi="Times New Roman" w:cs="Times New Roman"/>
          <w:spacing w:val="2"/>
        </w:rPr>
        <w:t>.0</w:t>
      </w:r>
      <w:r w:rsidR="00D343E8">
        <w:rPr>
          <w:rFonts w:ascii="Times New Roman" w:hAnsi="Times New Roman" w:cs="Times New Roman"/>
          <w:spacing w:val="2"/>
        </w:rPr>
        <w:t>3.2025</w:t>
      </w:r>
      <w:r>
        <w:rPr>
          <w:rFonts w:ascii="Times New Roman" w:hAnsi="Times New Roman" w:cs="Times New Roman"/>
          <w:spacing w:val="2"/>
        </w:rPr>
        <w:t xml:space="preserve"> r. 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A3E" w:rsidRDefault="00D03A3E">
      <w:r>
        <w:separator/>
      </w:r>
    </w:p>
  </w:endnote>
  <w:endnote w:type="continuationSeparator" w:id="0">
    <w:p w:rsidR="00D03A3E" w:rsidRDefault="00D0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Times New Roman"/>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A3E" w:rsidRDefault="00D03A3E">
      <w:r>
        <w:rPr>
          <w:color w:val="000000"/>
        </w:rPr>
        <w:separator/>
      </w:r>
    </w:p>
  </w:footnote>
  <w:footnote w:type="continuationSeparator" w:id="0">
    <w:p w:rsidR="00D03A3E" w:rsidRDefault="00D03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4D2EBA"/>
    <w:multiLevelType w:val="multilevel"/>
    <w:tmpl w:val="A22AC81A"/>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7"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6"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7"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8"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9"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1"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2"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30"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1"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33" w15:restartNumberingAfterBreak="0">
    <w:nsid w:val="7B000487"/>
    <w:multiLevelType w:val="hybridMultilevel"/>
    <w:tmpl w:val="9B7C90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0"/>
  </w:num>
  <w:num w:numId="3">
    <w:abstractNumId w:val="28"/>
  </w:num>
  <w:num w:numId="4">
    <w:abstractNumId w:val="22"/>
  </w:num>
  <w:num w:numId="5">
    <w:abstractNumId w:val="31"/>
  </w:num>
  <w:num w:numId="6">
    <w:abstractNumId w:val="30"/>
  </w:num>
  <w:num w:numId="7">
    <w:abstractNumId w:val="32"/>
  </w:num>
  <w:num w:numId="8">
    <w:abstractNumId w:val="17"/>
  </w:num>
  <w:num w:numId="9">
    <w:abstractNumId w:val="19"/>
  </w:num>
  <w:num w:numId="10">
    <w:abstractNumId w:val="24"/>
  </w:num>
  <w:num w:numId="11">
    <w:abstractNumId w:val="14"/>
  </w:num>
  <w:num w:numId="12">
    <w:abstractNumId w:val="16"/>
  </w:num>
  <w:num w:numId="13">
    <w:abstractNumId w:val="27"/>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6"/>
  </w:num>
  <w:num w:numId="16">
    <w:abstractNumId w:val="8"/>
  </w:num>
  <w:num w:numId="17">
    <w:abstractNumId w:val="13"/>
  </w:num>
  <w:num w:numId="18">
    <w:abstractNumId w:val="20"/>
  </w:num>
  <w:num w:numId="19">
    <w:abstractNumId w:val="9"/>
  </w:num>
  <w:num w:numId="20">
    <w:abstractNumId w:val="2"/>
  </w:num>
  <w:num w:numId="21">
    <w:abstractNumId w:val="29"/>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8"/>
  </w:num>
  <w:num w:numId="23">
    <w:abstractNumId w:val="1"/>
  </w:num>
  <w:num w:numId="24">
    <w:abstractNumId w:val="23"/>
  </w:num>
  <w:num w:numId="25">
    <w:abstractNumId w:val="25"/>
  </w:num>
  <w:num w:numId="26">
    <w:abstractNumId w:val="15"/>
  </w:num>
  <w:num w:numId="27">
    <w:abstractNumId w:val="30"/>
    <w:lvlOverride w:ilvl="0">
      <w:startOverride w:val="1"/>
    </w:lvlOverride>
  </w:num>
  <w:num w:numId="28">
    <w:abstractNumId w:val="24"/>
    <w:lvlOverride w:ilvl="0">
      <w:startOverride w:val="1"/>
    </w:lvlOverride>
  </w:num>
  <w:num w:numId="29">
    <w:abstractNumId w:val="0"/>
    <w:lvlOverride w:ilvl="0">
      <w:startOverride w:val="1"/>
    </w:lvlOverride>
  </w:num>
  <w:num w:numId="30">
    <w:abstractNumId w:val="26"/>
    <w:lvlOverride w:ilvl="0">
      <w:startOverride w:val="1"/>
    </w:lvlOverride>
  </w:num>
  <w:num w:numId="31">
    <w:abstractNumId w:val="8"/>
    <w:lvlOverride w:ilvl="0">
      <w:startOverride w:val="1"/>
    </w:lvlOverride>
  </w:num>
  <w:num w:numId="32">
    <w:abstractNumId w:val="13"/>
    <w:lvlOverride w:ilvl="0">
      <w:startOverride w:val="2"/>
    </w:lvlOverride>
  </w:num>
  <w:num w:numId="33">
    <w:abstractNumId w:val="23"/>
    <w:lvlOverride w:ilvl="0">
      <w:startOverride w:val="1"/>
    </w:lvlOverride>
  </w:num>
  <w:num w:numId="34">
    <w:abstractNumId w:val="25"/>
    <w:lvlOverride w:ilvl="0">
      <w:startOverride w:val="1"/>
    </w:lvlOverride>
  </w:num>
  <w:num w:numId="35">
    <w:abstractNumId w:val="20"/>
    <w:lvlOverride w:ilvl="0">
      <w:startOverride w:val="1"/>
    </w:lvlOverride>
  </w:num>
  <w:num w:numId="36">
    <w:abstractNumId w:val="9"/>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5"/>
  </w:num>
  <w:num w:numId="40">
    <w:abstractNumId w:val="31"/>
  </w:num>
  <w:num w:numId="41">
    <w:abstractNumId w:val="3"/>
  </w:num>
  <w:num w:numId="42">
    <w:abstractNumId w:val="5"/>
  </w:num>
  <w:num w:numId="43">
    <w:abstractNumId w:val="21"/>
  </w:num>
  <w:num w:numId="44">
    <w:abstractNumId w:val="4"/>
  </w:num>
  <w:num w:numId="45">
    <w:abstractNumId w:val="11"/>
  </w:num>
  <w:num w:numId="46">
    <w:abstractNumId w:val="27"/>
  </w:num>
  <w:num w:numId="47">
    <w:abstractNumId w:val="29"/>
  </w:num>
  <w:num w:numId="48">
    <w:abstractNumId w:val="7"/>
  </w:num>
  <w:num w:numId="49">
    <w:abstractNumId w:val="6"/>
  </w:num>
  <w:num w:numId="50">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66BB4"/>
    <w:rsid w:val="000C7415"/>
    <w:rsid w:val="000D0CEB"/>
    <w:rsid w:val="000E7E55"/>
    <w:rsid w:val="00126BCC"/>
    <w:rsid w:val="001368F0"/>
    <w:rsid w:val="001767F7"/>
    <w:rsid w:val="0018335C"/>
    <w:rsid w:val="001861C1"/>
    <w:rsid w:val="001D72D5"/>
    <w:rsid w:val="00206431"/>
    <w:rsid w:val="00212697"/>
    <w:rsid w:val="0022395B"/>
    <w:rsid w:val="002407BB"/>
    <w:rsid w:val="00257EDF"/>
    <w:rsid w:val="00265B99"/>
    <w:rsid w:val="002947B6"/>
    <w:rsid w:val="002D18D0"/>
    <w:rsid w:val="0030233F"/>
    <w:rsid w:val="00302F3B"/>
    <w:rsid w:val="00331A9A"/>
    <w:rsid w:val="00366540"/>
    <w:rsid w:val="00372BEC"/>
    <w:rsid w:val="003845A9"/>
    <w:rsid w:val="003C3587"/>
    <w:rsid w:val="003E21E0"/>
    <w:rsid w:val="003F4F57"/>
    <w:rsid w:val="00413B72"/>
    <w:rsid w:val="00414311"/>
    <w:rsid w:val="00424758"/>
    <w:rsid w:val="00431E00"/>
    <w:rsid w:val="00461D5E"/>
    <w:rsid w:val="00477276"/>
    <w:rsid w:val="004C07AA"/>
    <w:rsid w:val="004C554D"/>
    <w:rsid w:val="00531F83"/>
    <w:rsid w:val="00540C9F"/>
    <w:rsid w:val="00572E52"/>
    <w:rsid w:val="00586401"/>
    <w:rsid w:val="00594EC8"/>
    <w:rsid w:val="005B0C8F"/>
    <w:rsid w:val="005C4C44"/>
    <w:rsid w:val="005E4C3E"/>
    <w:rsid w:val="005F1BB5"/>
    <w:rsid w:val="005F437D"/>
    <w:rsid w:val="0060650B"/>
    <w:rsid w:val="00680E73"/>
    <w:rsid w:val="00684AFD"/>
    <w:rsid w:val="007166FA"/>
    <w:rsid w:val="007738CE"/>
    <w:rsid w:val="007E3466"/>
    <w:rsid w:val="007E37B1"/>
    <w:rsid w:val="007F34CF"/>
    <w:rsid w:val="007F47F9"/>
    <w:rsid w:val="00852AE7"/>
    <w:rsid w:val="00882132"/>
    <w:rsid w:val="008D6EC2"/>
    <w:rsid w:val="00971854"/>
    <w:rsid w:val="009820D7"/>
    <w:rsid w:val="009F48E6"/>
    <w:rsid w:val="00A27815"/>
    <w:rsid w:val="00AA138C"/>
    <w:rsid w:val="00B30533"/>
    <w:rsid w:val="00B555D0"/>
    <w:rsid w:val="00B56065"/>
    <w:rsid w:val="00B76EE0"/>
    <w:rsid w:val="00BA03DF"/>
    <w:rsid w:val="00BB7E26"/>
    <w:rsid w:val="00BE548A"/>
    <w:rsid w:val="00BE594A"/>
    <w:rsid w:val="00C6235A"/>
    <w:rsid w:val="00D0088E"/>
    <w:rsid w:val="00D03A3E"/>
    <w:rsid w:val="00D343E8"/>
    <w:rsid w:val="00DD51E3"/>
    <w:rsid w:val="00DF62CB"/>
    <w:rsid w:val="00E1072F"/>
    <w:rsid w:val="00E13FB7"/>
    <w:rsid w:val="00E31163"/>
    <w:rsid w:val="00E671D5"/>
    <w:rsid w:val="00EA77BC"/>
    <w:rsid w:val="00EB6A82"/>
    <w:rsid w:val="00EC60CE"/>
    <w:rsid w:val="00ED1E3D"/>
    <w:rsid w:val="00ED3124"/>
    <w:rsid w:val="00EE3F9D"/>
    <w:rsid w:val="00EF37FF"/>
    <w:rsid w:val="00F31D7A"/>
    <w:rsid w:val="00FD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2F0EB"/>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 w:type="numbering" w:customStyle="1" w:styleId="WW8Num61">
    <w:name w:val="WW8Num61"/>
    <w:basedOn w:val="Bezlisty"/>
    <w:rsid w:val="00186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8A74B-A317-474C-AF87-D4C902BA1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5105</Words>
  <Characters>30634</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4</cp:revision>
  <cp:lastPrinted>2022-09-26T14:14:00Z</cp:lastPrinted>
  <dcterms:created xsi:type="dcterms:W3CDTF">2025-04-23T10:52:00Z</dcterms:created>
  <dcterms:modified xsi:type="dcterms:W3CDTF">2025-04-28T08:44:00Z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